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 w:before="0" w:after="0"/>
        <w:ind w:left="-5" w:right="-8" w:hanging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Анализ результатов государственной итоговой аттестации</w:t>
      </w:r>
    </w:p>
    <w:p>
      <w:pPr>
        <w:pStyle w:val="Normal"/>
        <w:spacing w:lineRule="auto" w:line="276" w:before="0" w:after="0"/>
        <w:ind w:left="-5" w:right="-8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 программам основного общего образования в 2024 году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76" w:before="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Цель:</w:t>
      </w:r>
      <w:r>
        <w:rPr>
          <w:rFonts w:cs="Times New Roman" w:ascii="Times New Roman" w:hAnsi="Times New Roman"/>
          <w:sz w:val="24"/>
          <w:szCs w:val="24"/>
        </w:rPr>
        <w:t xml:space="preserve"> определение качества образования обучающихся по результатам внешней независимой оценки.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Подготовка к проведению ГИА-2024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</w:t>
      </w:r>
      <w:r>
        <w:rPr>
          <w:rFonts w:cs="Times New Roman" w:ascii="Times New Roman" w:hAnsi="Times New Roman"/>
          <w:sz w:val="24"/>
          <w:szCs w:val="24"/>
        </w:rPr>
        <w:tab/>
        <w:t>ОГЭ в 2024 году проводился в соответствии с распорядительными документами: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-«Приказ Министерства просвещения Российской Федерации и Федеральной службы по надзору в сфере образования и науки от 18.12.2023 года № 953/2116 «Об утверждении единого расписания и продолжительности проведения основного государственного экзамена по образовательным программам основного общего образования». Приказ Министерства просвещения Российской Федерации и Федеральной службы по надзору в сфере образования и науки от 18.12.2023 года № 954/2117 «Об утверждении единого расписания и продолжительности проведения единого государственного экзамена по образовательным программам среднего общего образования по каждому учебному предмету, требований к использованию средств обучения и воспитания при его проведении в 2024 году»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eastAsia="Symbol" w:cs="Symbol" w:ascii="Symbol" w:hAnsi="Symbol"/>
          <w:sz w:val="24"/>
          <w:szCs w:val="24"/>
        </w:rPr>
        <w:t></w:t>
      </w:r>
      <w:r>
        <w:rPr>
          <w:rFonts w:cs="Times New Roman" w:ascii="Times New Roman" w:hAnsi="Times New Roman"/>
          <w:sz w:val="24"/>
          <w:szCs w:val="24"/>
        </w:rPr>
        <w:t xml:space="preserve">Письмо Федеральной службы по надзору в сфере образования и науки от 14.05.2024 № 04-1134 «Разъяснения об особенностях ГИА-2024»;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-Методические рекомендации по подготовке и проведению государственной итоговой аттестации по образовательным программам основного общего и среднего общего образования в 2024 году.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                      </w:t>
      </w:r>
      <w:r>
        <w:rPr>
          <w:rFonts w:cs="Times New Roman" w:ascii="Times New Roman" w:hAnsi="Times New Roman"/>
          <w:b/>
          <w:bCs/>
          <w:sz w:val="24"/>
          <w:szCs w:val="24"/>
        </w:rPr>
        <w:t>Подготовительный этап к государственной итоговой аттестации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</w:t>
      </w:r>
      <w:r>
        <w:rPr>
          <w:rFonts w:cs="Times New Roman" w:ascii="Times New Roman" w:hAnsi="Times New Roman"/>
          <w:sz w:val="24"/>
          <w:szCs w:val="24"/>
        </w:rPr>
        <w:tab/>
        <w:t>В соответствии с планом мероприятий по подготовке к государственной итоговой аттестации в МАОУ СОШ №5 была сформирована нормативно-правовая база, регламентирующая деятельность администрации школы, учителей и учащихся. Были оформлены стенды «Государственная итоговая аттестация», на которых размещена основная информация, касающаяся особенностей проведения ОГЭ и ЕГЭ, ГВЭ в 2024 году, правила заполнения бланков, советы психолога по преодолению тревожности, связанной с прохождением итоговой аттестации, ссылки на основные образовательные интернет порталы, сроки проведения государственной итоговой аттестации в 2024 году, другая полезная информация. Стенды, содержащие информацию об особенностях ОГЭ и ЕГЭ по каждому предмету, были также оформлены в предметных кабинетах.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</w:t>
      </w:r>
      <w:r>
        <w:rPr>
          <w:rFonts w:cs="Times New Roman" w:ascii="Times New Roman" w:hAnsi="Times New Roman"/>
          <w:sz w:val="24"/>
          <w:szCs w:val="24"/>
        </w:rPr>
        <w:tab/>
        <w:t>Вся необходимая информация была размещена на официальном сайте МАОУ СОШ №5. Согласно утвержденному плану в течение года были проведены единые классные собрания, классные часы, круглые столы для учащихся 9-х и 11-х классов, где выпускники и их родители были ознакомлены с нормативно-правовой базой проведения ГИА в 2024 году.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Особое внимание было уделено правовым вопросам организации и проведения государственной итоговой аттестации: соблюдению информационной безопасности и ответственности за ее нарушение, о поведении выпускников на экзамене.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В течение года осуществлялось постоянное информирование учащихся 9-х и 11-х классов и их родителей (законных представителей) по вопросам подготовки к ГИА через родительские и ученические собрания, на которых они знакомились с перечнем нормативно-правовой документации, методическими рекомендациями по организации деятельности выпускников во время подготовки и прохождения ГИА. Данная информация зафиксирована в протоколах родительских собраний. В течение года учителя-предметники знакомили учащихся с демоверсиями, кодификаторами, спецификациями экзаменов.</w:t>
      </w:r>
    </w:p>
    <w:p>
      <w:pPr>
        <w:pStyle w:val="Normal"/>
        <w:spacing w:lineRule="auto" w:line="276" w:before="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 течение 2023-2024 учебного года в школе велась целенаправленная, планомерная, систематическая подготовка участников образовательного процесса к ГИА.  В соответствии с нормативно-правовыми документами по организации и проведению ГИА, был разработан план-график подготовки учащихся к ОГЭ и ЕГЭ в годовом плане работы школы.  </w:t>
      </w:r>
    </w:p>
    <w:p>
      <w:pPr>
        <w:pStyle w:val="Normal"/>
        <w:spacing w:lineRule="auto" w:line="276" w:before="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 соответствии с данным администрация школы, методические объединения, наметили планы работы по подготовке учащихся к государственной итоговой аттестации. В течение учебного года для учителей-предметников проводились совещания, на которых были рассмотрены основные вопросы проведения ГИА в 2024 году.  </w:t>
      </w:r>
    </w:p>
    <w:p>
      <w:pPr>
        <w:pStyle w:val="Normal"/>
        <w:spacing w:lineRule="auto" w:line="276" w:before="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начале 2023-2024 учебного года сформирована предварительная база данных по учащимся школы для сдачи ОГЭ и ЕГЭ-2024, которая обновлялась в течение года. Каждый выбор ученика анализировался с учеником и их родителем и до закрытия базы редактировалась. Учителя-предметники уделяли большое внимание разбору различных вариантов тестовых заданий на уроках, дополнительных и индивидуальных занятиях, правильности заполнения бланков.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ab/>
        <w:t>Проведены внутришкольные пробные экзамены по русскому языку и математике и по предметам по выбору в форме и по материалам ОГЭ и ЕГЭ. До сведения учащихся и родителей (законных представителей) своевременно доводились результаты диагностических работ, учителя-предметники проводили анализ работ с целью выявления причин неудач учащихся и устранения пробелов в знаниях, на протяжении года проводились корректировки работы планов мероприятий по подготовке к ГИА.</w:t>
      </w:r>
    </w:p>
    <w:p>
      <w:pPr>
        <w:pStyle w:val="Normal"/>
        <w:spacing w:lineRule="auto" w:line="276" w:before="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Вопрос подготовки к ГИА в течение года был на внутришкольном контроле. Контролировалась работа с бланками, КИМами, посещаемость занятий учащимися, организация подготовки к ОГЭ и ЕГЭ на уроках и индивидуальных занятиях. В соответствии с планом внутришкольного контроля администрацией школы были проведены тематические проверки и проанализированы работа по следующим показателям: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Symbol" w:cs="Symbol" w:ascii="Symbol" w:hAnsi="Symbol"/>
          <w:sz w:val="24"/>
          <w:szCs w:val="24"/>
        </w:rPr>
        <w:t></w:t>
      </w:r>
      <w:r>
        <w:rPr>
          <w:rFonts w:cs="Times New Roman" w:ascii="Times New Roman" w:hAnsi="Times New Roman"/>
          <w:sz w:val="24"/>
          <w:szCs w:val="24"/>
        </w:rPr>
        <w:t xml:space="preserve">выполнение общеобразовательных программ в выпускных классах;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Symbol" w:cs="Symbol" w:ascii="Symbol" w:hAnsi="Symbol"/>
          <w:sz w:val="24"/>
          <w:szCs w:val="24"/>
        </w:rPr>
        <w:t></w:t>
      </w:r>
      <w:r>
        <w:rPr>
          <w:rFonts w:cs="Times New Roman" w:ascii="Times New Roman" w:hAnsi="Times New Roman"/>
          <w:sz w:val="24"/>
          <w:szCs w:val="24"/>
        </w:rPr>
        <w:t xml:space="preserve">организация повторения учебного материала;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Symbol" w:cs="Symbol" w:ascii="Symbol" w:hAnsi="Symbol"/>
          <w:sz w:val="24"/>
          <w:szCs w:val="24"/>
        </w:rPr>
        <w:t></w:t>
      </w:r>
      <w:r>
        <w:rPr>
          <w:rFonts w:cs="Times New Roman" w:ascii="Times New Roman" w:hAnsi="Times New Roman"/>
          <w:sz w:val="24"/>
          <w:szCs w:val="24"/>
        </w:rPr>
        <w:t>соответствие уровня знаний выпускников 9 класса обязательному минимуму содержания основного общего образования и требованиям к уровню подготовки выпускников (административные контрольные работы);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Symbol" w:cs="Symbol" w:ascii="Symbol" w:hAnsi="Symbol"/>
          <w:sz w:val="24"/>
          <w:szCs w:val="24"/>
        </w:rPr>
        <w:t></w:t>
      </w:r>
      <w:r>
        <w:rPr>
          <w:rFonts w:cs="Times New Roman" w:ascii="Times New Roman" w:hAnsi="Times New Roman"/>
          <w:sz w:val="24"/>
          <w:szCs w:val="24"/>
        </w:rPr>
        <w:t xml:space="preserve">готовность ОУ к участию в государственной итоговой аттестации;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Symbol" w:cs="Symbol" w:ascii="Symbol" w:hAnsi="Symbol"/>
          <w:sz w:val="24"/>
          <w:szCs w:val="24"/>
        </w:rPr>
        <w:t></w:t>
      </w:r>
      <w:r>
        <w:rPr>
          <w:rFonts w:cs="Times New Roman" w:ascii="Times New Roman" w:hAnsi="Times New Roman"/>
          <w:sz w:val="24"/>
          <w:szCs w:val="24"/>
        </w:rPr>
        <w:t xml:space="preserve">система учета знаний учащихся;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Symbol" w:cs="Symbol" w:ascii="Symbol" w:hAnsi="Symbol"/>
          <w:sz w:val="24"/>
          <w:szCs w:val="24"/>
        </w:rPr>
        <w:t></w:t>
      </w:r>
      <w:r>
        <w:rPr>
          <w:rFonts w:cs="Times New Roman" w:ascii="Times New Roman" w:hAnsi="Times New Roman"/>
          <w:sz w:val="24"/>
          <w:szCs w:val="24"/>
        </w:rPr>
        <w:t xml:space="preserve">контроль преподавания ориентационных и предметных курсов в рамках подготовки к ГИА. </w:t>
      </w:r>
    </w:p>
    <w:p>
      <w:pPr>
        <w:pStyle w:val="Normal"/>
        <w:spacing w:lineRule="auto" w:line="276" w:before="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Сочетание административного контроля с самоконтролем и самоанализом деятельности педагогов позволило достичь достаточного уровня подготовки к государственной (итоговой) аттестации и способствовало ее организованному проведению.</w:t>
      </w:r>
    </w:p>
    <w:p>
      <w:pPr>
        <w:pStyle w:val="Normal"/>
        <w:spacing w:lineRule="auto" w:line="276" w:before="0" w:after="0"/>
        <w:ind w:left="1500" w:hanging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Итоговая аттестация учащихся 9 классов</w:t>
      </w:r>
    </w:p>
    <w:p>
      <w:pPr>
        <w:pStyle w:val="ListParagraph"/>
        <w:spacing w:lineRule="auto" w:line="276" w:before="0" w:after="0"/>
        <w:ind w:left="0" w:hang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 xml:space="preserve">ГИА-9 в 2024 году проводилась по двум обязательным учебным предметам русскому языку и математике и двум предметам по выбору. Обучающиеся с ограниченными возможностями здоровья (далее – с ОВЗ), дети-инвалиды и инвалиды могли выбрать для сдачи ГИА-9 форму сдачи экзамена ОГЭ или ГВЭ. </w:t>
      </w:r>
    </w:p>
    <w:p>
      <w:pPr>
        <w:pStyle w:val="ListParagraph"/>
        <w:spacing w:lineRule="auto" w:line="276" w:before="0" w:after="0"/>
        <w:ind w:left="0" w:hang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В 2023-2024 учебном году в 9-х классах обучалось 37 учащихся. Из них: 1 ученица сдавала экзамен в форме ГВЭ, 2-ая ученица  была освобождена от сдачи ОГЭ (обучалась по адаптированной программе).</w:t>
      </w:r>
    </w:p>
    <w:p>
      <w:pPr>
        <w:pStyle w:val="ListParagraph"/>
        <w:spacing w:lineRule="auto" w:line="276" w:before="0" w:after="0"/>
        <w:ind w:left="0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39574048"/>
      <w:r>
        <w:rPr>
          <w:rFonts w:cs="Times New Roman" w:ascii="Times New Roman" w:hAnsi="Times New Roman"/>
          <w:sz w:val="24"/>
          <w:szCs w:val="24"/>
        </w:rPr>
        <w:t xml:space="preserve">Были допущены к итоговой аттестации 36 обучающихся по результатам устного собеседования по русскому языку и итоговых оценок за курс 9 класса.  </w:t>
      </w:r>
      <w:bookmarkEnd w:id="1"/>
    </w:p>
    <w:p>
      <w:pPr>
        <w:pStyle w:val="ListParagraph"/>
        <w:spacing w:lineRule="auto" w:line="276" w:before="0" w:after="0"/>
        <w:ind w:left="0" w:hanging="0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ListParagraph"/>
        <w:spacing w:lineRule="auto" w:line="276" w:before="0" w:after="0"/>
        <w:ind w:left="0" w:hanging="0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Выбор предметов по 9 классам распределился следующим образом:</w:t>
      </w:r>
    </w:p>
    <w:tbl>
      <w:tblPr>
        <w:tblStyle w:val="a6"/>
        <w:tblW w:w="1017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120"/>
        <w:gridCol w:w="1134"/>
        <w:gridCol w:w="1399"/>
        <w:gridCol w:w="990"/>
        <w:gridCol w:w="1136"/>
        <w:gridCol w:w="1133"/>
        <w:gridCol w:w="1418"/>
        <w:gridCol w:w="1841"/>
      </w:tblGrid>
      <w:tr>
        <w:trPr>
          <w:trHeight w:val="467" w:hRule="atLeast"/>
        </w:trPr>
        <w:tc>
          <w:tcPr>
            <w:tcW w:w="11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Родной язык (82)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Родной язык (83)</w:t>
            </w:r>
          </w:p>
        </w:tc>
        <w:tc>
          <w:tcPr>
            <w:tcW w:w="139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Биология</w:t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Химия</w:t>
            </w:r>
          </w:p>
        </w:tc>
        <w:tc>
          <w:tcPr>
            <w:tcW w:w="113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Физика</w:t>
            </w:r>
          </w:p>
        </w:tc>
        <w:tc>
          <w:tcPr>
            <w:tcW w:w="113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Англ.яз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География</w:t>
            </w:r>
          </w:p>
        </w:tc>
        <w:tc>
          <w:tcPr>
            <w:tcW w:w="18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4"/>
                <w:szCs w:val="24"/>
                <w:lang w:val="ru-RU" w:eastAsia="en-US" w:bidi="ar-SA"/>
              </w:rPr>
              <w:t>Информатика</w:t>
            </w:r>
          </w:p>
        </w:tc>
      </w:tr>
      <w:tr>
        <w:trPr>
          <w:trHeight w:val="414" w:hRule="atLeast"/>
        </w:trPr>
        <w:tc>
          <w:tcPr>
            <w:tcW w:w="11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39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12</w:t>
            </w:r>
          </w:p>
        </w:tc>
        <w:tc>
          <w:tcPr>
            <w:tcW w:w="99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13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4</w:t>
            </w:r>
          </w:p>
        </w:tc>
        <w:tc>
          <w:tcPr>
            <w:tcW w:w="113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19</w:t>
            </w:r>
          </w:p>
        </w:tc>
        <w:tc>
          <w:tcPr>
            <w:tcW w:w="18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4"/>
                <w:szCs w:val="24"/>
                <w:lang w:val="ru-RU" w:eastAsia="en-US" w:bidi="ar-SA"/>
              </w:rPr>
              <w:t>27</w:t>
            </w:r>
          </w:p>
        </w:tc>
      </w:tr>
    </w:tbl>
    <w:p>
      <w:pPr>
        <w:pStyle w:val="Normal"/>
        <w:spacing w:lineRule="auto" w:line="276" w:before="0"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Результаты по русскому языку</w:t>
      </w:r>
    </w:p>
    <w:tbl>
      <w:tblPr>
        <w:tblStyle w:val="a6"/>
        <w:tblW w:w="960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701"/>
        <w:gridCol w:w="854"/>
        <w:gridCol w:w="869"/>
        <w:gridCol w:w="842"/>
        <w:gridCol w:w="836"/>
        <w:gridCol w:w="1528"/>
        <w:gridCol w:w="1560"/>
        <w:gridCol w:w="1414"/>
      </w:tblGrid>
      <w:tr>
        <w:trPr>
          <w:trHeight w:val="150" w:hRule="atLeast"/>
        </w:trPr>
        <w:tc>
          <w:tcPr>
            <w:tcW w:w="1701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Кол-во</w:t>
            </w:r>
          </w:p>
        </w:tc>
        <w:tc>
          <w:tcPr>
            <w:tcW w:w="3401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Оценки</w:t>
            </w:r>
          </w:p>
        </w:tc>
        <w:tc>
          <w:tcPr>
            <w:tcW w:w="1528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Успев. %</w:t>
            </w:r>
          </w:p>
        </w:tc>
        <w:tc>
          <w:tcPr>
            <w:tcW w:w="1560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Кач %</w:t>
            </w:r>
          </w:p>
        </w:tc>
        <w:tc>
          <w:tcPr>
            <w:tcW w:w="1414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Ср.</w:t>
            </w:r>
          </w:p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балл</w:t>
            </w:r>
          </w:p>
        </w:tc>
      </w:tr>
      <w:tr>
        <w:trPr>
          <w:trHeight w:val="120" w:hRule="atLeast"/>
        </w:trPr>
        <w:tc>
          <w:tcPr>
            <w:tcW w:w="1701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 xml:space="preserve">  </w:t>
            </w: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«5»</w:t>
            </w:r>
          </w:p>
        </w:tc>
        <w:tc>
          <w:tcPr>
            <w:tcW w:w="8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 xml:space="preserve">   </w:t>
            </w: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«4»</w:t>
            </w:r>
          </w:p>
        </w:tc>
        <w:tc>
          <w:tcPr>
            <w:tcW w:w="84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 xml:space="preserve">   </w:t>
            </w: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«3»</w:t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 xml:space="preserve">  </w:t>
            </w: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«2»</w:t>
            </w:r>
          </w:p>
        </w:tc>
        <w:tc>
          <w:tcPr>
            <w:tcW w:w="1528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  <w:tc>
          <w:tcPr>
            <w:tcW w:w="1560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  <w:tc>
          <w:tcPr>
            <w:tcW w:w="1414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</w:tr>
      <w:tr>
        <w:trPr>
          <w:trHeight w:val="385" w:hRule="atLeast"/>
        </w:trPr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36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11</w:t>
            </w:r>
          </w:p>
        </w:tc>
        <w:tc>
          <w:tcPr>
            <w:tcW w:w="8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11</w:t>
            </w:r>
          </w:p>
        </w:tc>
        <w:tc>
          <w:tcPr>
            <w:tcW w:w="84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14</w:t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15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62%</w:t>
            </w:r>
          </w:p>
        </w:tc>
        <w:tc>
          <w:tcPr>
            <w:tcW w:w="14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bookmarkStart w:id="2" w:name="_Hlk138342887"/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4</w:t>
            </w:r>
            <w:bookmarkEnd w:id="2"/>
          </w:p>
        </w:tc>
      </w:tr>
    </w:tbl>
    <w:p>
      <w:pPr>
        <w:pStyle w:val="Normal"/>
        <w:spacing w:lineRule="auto" w:line="276" w:before="0" w:after="0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Hlk139573426"/>
      <w:r>
        <w:rPr>
          <w:rFonts w:cs="Times New Roman" w:ascii="Times New Roman" w:hAnsi="Times New Roman"/>
          <w:b/>
          <w:bCs/>
          <w:sz w:val="24"/>
          <w:szCs w:val="24"/>
        </w:rPr>
        <w:t xml:space="preserve">        </w:t>
      </w:r>
      <w:bookmarkStart w:id="4" w:name="_Hlk139574072"/>
      <w:bookmarkEnd w:id="3"/>
      <w:r>
        <w:rPr>
          <w:rFonts w:cs="Times New Roman" w:ascii="Times New Roman" w:hAnsi="Times New Roman"/>
          <w:b/>
          <w:bCs/>
          <w:sz w:val="24"/>
          <w:szCs w:val="24"/>
        </w:rPr>
        <w:t xml:space="preserve">                                         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Результаты по математике </w:t>
      </w:r>
    </w:p>
    <w:tbl>
      <w:tblPr>
        <w:tblStyle w:val="a6"/>
        <w:tblW w:w="93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606"/>
        <w:gridCol w:w="832"/>
        <w:gridCol w:w="832"/>
        <w:gridCol w:w="833"/>
        <w:gridCol w:w="833"/>
        <w:gridCol w:w="1514"/>
        <w:gridCol w:w="1466"/>
        <w:gridCol w:w="1428"/>
      </w:tblGrid>
      <w:tr>
        <w:trPr>
          <w:trHeight w:val="150" w:hRule="atLeast"/>
        </w:trPr>
        <w:tc>
          <w:tcPr>
            <w:tcW w:w="1606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Кол-во</w:t>
            </w:r>
          </w:p>
        </w:tc>
        <w:tc>
          <w:tcPr>
            <w:tcW w:w="3330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Оценки</w:t>
            </w:r>
          </w:p>
        </w:tc>
        <w:tc>
          <w:tcPr>
            <w:tcW w:w="1514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Успев. (%)</w:t>
            </w:r>
          </w:p>
        </w:tc>
        <w:tc>
          <w:tcPr>
            <w:tcW w:w="1466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Кач-во (%)</w:t>
            </w:r>
          </w:p>
        </w:tc>
        <w:tc>
          <w:tcPr>
            <w:tcW w:w="1428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Ср.балл</w:t>
            </w:r>
          </w:p>
        </w:tc>
      </w:tr>
      <w:tr>
        <w:trPr>
          <w:trHeight w:val="120" w:hRule="atLeast"/>
        </w:trPr>
        <w:tc>
          <w:tcPr>
            <w:tcW w:w="160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  <w:tc>
          <w:tcPr>
            <w:tcW w:w="83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 xml:space="preserve">  </w:t>
            </w: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«5»</w:t>
            </w:r>
          </w:p>
        </w:tc>
        <w:tc>
          <w:tcPr>
            <w:tcW w:w="83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 xml:space="preserve">   </w:t>
            </w: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«4»</w:t>
            </w:r>
          </w:p>
        </w:tc>
        <w:tc>
          <w:tcPr>
            <w:tcW w:w="83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 xml:space="preserve">   </w:t>
            </w: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«3»</w:t>
            </w:r>
          </w:p>
        </w:tc>
        <w:tc>
          <w:tcPr>
            <w:tcW w:w="83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 xml:space="preserve">  </w:t>
            </w: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«2»</w:t>
            </w:r>
          </w:p>
        </w:tc>
        <w:tc>
          <w:tcPr>
            <w:tcW w:w="1514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  <w:tc>
          <w:tcPr>
            <w:tcW w:w="146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  <w:tc>
          <w:tcPr>
            <w:tcW w:w="1428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</w:tr>
      <w:tr>
        <w:trPr>
          <w:trHeight w:val="385" w:hRule="atLeast"/>
        </w:trPr>
        <w:tc>
          <w:tcPr>
            <w:tcW w:w="16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36</w:t>
            </w:r>
          </w:p>
        </w:tc>
        <w:tc>
          <w:tcPr>
            <w:tcW w:w="83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83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26</w:t>
            </w:r>
          </w:p>
        </w:tc>
        <w:tc>
          <w:tcPr>
            <w:tcW w:w="83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83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15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146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92%</w:t>
            </w:r>
          </w:p>
        </w:tc>
        <w:tc>
          <w:tcPr>
            <w:tcW w:w="14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</w:tr>
    </w:tbl>
    <w:p>
      <w:pPr>
        <w:pStyle w:val="Normal"/>
        <w:spacing w:lineRule="auto" w:line="276" w:before="0"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End w:id="4"/>
      <w:r>
        <w:rPr>
          <w:rFonts w:cs="Times New Roman" w:ascii="Times New Roman" w:hAnsi="Times New Roman"/>
          <w:b/>
          <w:bCs/>
          <w:sz w:val="24"/>
          <w:szCs w:val="24"/>
        </w:rPr>
        <w:t>Результаты по предметам по выбору:</w:t>
      </w:r>
    </w:p>
    <w:tbl>
      <w:tblPr>
        <w:tblStyle w:val="a6"/>
        <w:tblW w:w="9640" w:type="dxa"/>
        <w:jc w:val="left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702"/>
        <w:gridCol w:w="1699"/>
        <w:gridCol w:w="993"/>
        <w:gridCol w:w="710"/>
        <w:gridCol w:w="707"/>
        <w:gridCol w:w="710"/>
        <w:gridCol w:w="709"/>
        <w:gridCol w:w="851"/>
        <w:gridCol w:w="850"/>
        <w:gridCol w:w="708"/>
      </w:tblGrid>
      <w:tr>
        <w:trPr>
          <w:trHeight w:val="150" w:hRule="atLeast"/>
        </w:trPr>
        <w:tc>
          <w:tcPr>
            <w:tcW w:w="1702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Предмет</w:t>
            </w:r>
          </w:p>
        </w:tc>
        <w:tc>
          <w:tcPr>
            <w:tcW w:w="1699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Учитель</w:t>
            </w:r>
          </w:p>
        </w:tc>
        <w:tc>
          <w:tcPr>
            <w:tcW w:w="993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Кол-во участников</w:t>
            </w:r>
          </w:p>
        </w:tc>
        <w:tc>
          <w:tcPr>
            <w:tcW w:w="2836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Оценки</w:t>
            </w:r>
          </w:p>
        </w:tc>
        <w:tc>
          <w:tcPr>
            <w:tcW w:w="851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ind w:left="-85" w:right="-107" w:hanging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Успев.    ( %)</w:t>
            </w:r>
          </w:p>
        </w:tc>
        <w:tc>
          <w:tcPr>
            <w:tcW w:w="850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Кач-во  (%)</w:t>
            </w:r>
          </w:p>
        </w:tc>
        <w:tc>
          <w:tcPr>
            <w:tcW w:w="708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0"/>
                <w:szCs w:val="20"/>
                <w:lang w:val="ru-RU" w:eastAsia="en-US" w:bidi="ar-SA"/>
              </w:rPr>
              <w:t>Ср.б</w:t>
            </w:r>
          </w:p>
        </w:tc>
      </w:tr>
      <w:tr>
        <w:trPr>
          <w:trHeight w:val="120" w:hRule="atLeast"/>
        </w:trPr>
        <w:tc>
          <w:tcPr>
            <w:tcW w:w="1702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  <w:tc>
          <w:tcPr>
            <w:tcW w:w="1699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  <w:tc>
          <w:tcPr>
            <w:tcW w:w="993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«5»</w:t>
            </w:r>
          </w:p>
        </w:tc>
        <w:tc>
          <w:tcPr>
            <w:tcW w:w="7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«4»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«3»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«2»</w:t>
            </w:r>
          </w:p>
        </w:tc>
        <w:tc>
          <w:tcPr>
            <w:tcW w:w="851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  <w:tc>
          <w:tcPr>
            <w:tcW w:w="850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  <w:tc>
          <w:tcPr>
            <w:tcW w:w="708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</w:r>
          </w:p>
        </w:tc>
      </w:tr>
      <w:tr>
        <w:trPr>
          <w:trHeight w:val="385" w:hRule="atLeast"/>
        </w:trPr>
        <w:tc>
          <w:tcPr>
            <w:tcW w:w="17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Химия</w:t>
            </w:r>
          </w:p>
        </w:tc>
        <w:tc>
          <w:tcPr>
            <w:tcW w:w="169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Соловьева Л.И.</w:t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7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</w:tr>
      <w:tr>
        <w:trPr>
          <w:trHeight w:val="419" w:hRule="atLeast"/>
        </w:trPr>
        <w:tc>
          <w:tcPr>
            <w:tcW w:w="17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Биология</w:t>
            </w:r>
          </w:p>
        </w:tc>
        <w:tc>
          <w:tcPr>
            <w:tcW w:w="169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Миназетдинова Г.И.</w:t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12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7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</w:tr>
      <w:tr>
        <w:trPr>
          <w:trHeight w:val="356" w:hRule="atLeast"/>
        </w:trPr>
        <w:tc>
          <w:tcPr>
            <w:tcW w:w="17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Родной язык (82)</w:t>
            </w:r>
          </w:p>
        </w:tc>
        <w:tc>
          <w:tcPr>
            <w:tcW w:w="169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Миннегараева Г.М.</w:t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7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</w:tr>
      <w:tr>
        <w:trPr>
          <w:trHeight w:val="375" w:hRule="atLeast"/>
        </w:trPr>
        <w:tc>
          <w:tcPr>
            <w:tcW w:w="17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Родной язык (83)</w:t>
            </w:r>
          </w:p>
        </w:tc>
        <w:tc>
          <w:tcPr>
            <w:tcW w:w="169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Муллаева Г.Г.</w:t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7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67%</w:t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</w:tr>
      <w:tr>
        <w:trPr>
          <w:trHeight w:val="409" w:hRule="atLeast"/>
        </w:trPr>
        <w:tc>
          <w:tcPr>
            <w:tcW w:w="17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Физика</w:t>
            </w:r>
          </w:p>
        </w:tc>
        <w:tc>
          <w:tcPr>
            <w:tcW w:w="169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Романова Д.М.</w:t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7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</w:tr>
      <w:tr>
        <w:trPr>
          <w:trHeight w:val="525" w:hRule="atLeast"/>
        </w:trPr>
        <w:tc>
          <w:tcPr>
            <w:tcW w:w="17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Англ. язык</w:t>
            </w:r>
          </w:p>
        </w:tc>
        <w:tc>
          <w:tcPr>
            <w:tcW w:w="169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Булатова Л.Ш.</w:t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7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</w:tr>
      <w:tr>
        <w:trPr>
          <w:trHeight w:val="525" w:hRule="atLeast"/>
        </w:trPr>
        <w:tc>
          <w:tcPr>
            <w:tcW w:w="17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Информатика</w:t>
            </w:r>
          </w:p>
        </w:tc>
        <w:tc>
          <w:tcPr>
            <w:tcW w:w="169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Ананьева Ю.И.</w:t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27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7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18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6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78%</w:t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</w:tr>
      <w:tr>
        <w:trPr>
          <w:trHeight w:val="525" w:hRule="atLeast"/>
        </w:trPr>
        <w:tc>
          <w:tcPr>
            <w:tcW w:w="17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География</w:t>
            </w:r>
          </w:p>
        </w:tc>
        <w:tc>
          <w:tcPr>
            <w:tcW w:w="169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Коберник М.Ю.</w:t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19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70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71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-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100%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58%</w:t>
            </w:r>
          </w:p>
        </w:tc>
        <w:tc>
          <w:tcPr>
            <w:tcW w:w="70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Сравнительный анализ результатов ОГЭ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по школе за 2 года (средняя оценка):</w:t>
      </w:r>
    </w:p>
    <w:tbl>
      <w:tblPr>
        <w:tblpPr w:vertAnchor="text" w:horzAnchor="margin" w:tblpXSpec="center" w:leftFromText="180" w:rightFromText="180" w:tblpY="127"/>
        <w:tblW w:w="733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4218"/>
        <w:gridCol w:w="1559"/>
        <w:gridCol w:w="1560"/>
      </w:tblGrid>
      <w:tr>
        <w:trPr>
          <w:trHeight w:val="276" w:hRule="atLeast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2022-2023 учебный год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2023-2024 учебный год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 (КОГЭ)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 (82)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 (83)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Сравнительный анализ результатов </w:t>
      </w:r>
    </w:p>
    <w:p>
      <w:pPr>
        <w:pStyle w:val="Normal"/>
        <w:spacing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с Бавлинским районом и Республикой Татарстан:</w:t>
      </w:r>
    </w:p>
    <w:tbl>
      <w:tblPr>
        <w:tblW w:w="9356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1985"/>
        <w:gridCol w:w="848"/>
        <w:gridCol w:w="994"/>
        <w:gridCol w:w="1135"/>
        <w:gridCol w:w="1416"/>
        <w:gridCol w:w="992"/>
        <w:gridCol w:w="1985"/>
      </w:tblGrid>
      <w:tr>
        <w:trPr/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Бавлинский район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Республика Татарстан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84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9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динамика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динамика</w:t>
            </w:r>
          </w:p>
        </w:tc>
      </w:tr>
      <w:tr>
        <w:trPr/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lineRule="auto" w:line="27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 язык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-0,01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+0,09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tabs>
                <w:tab w:val="clear" w:pos="708"/>
                <w:tab w:val="left" w:pos="0" w:leader="none"/>
              </w:tabs>
              <w:spacing w:lineRule="auto" w:line="27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-0,08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+0,06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-0,13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+0,06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+0,8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+0,20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-0,7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+0,14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-0,03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-0,27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-0,08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 (82)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 (82)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lineRule="auto" w:line="27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-0,6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76" w:before="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Общие выводы по 9-м классам: </w:t>
      </w:r>
      <w:r>
        <w:rPr>
          <w:rFonts w:cs="Times New Roman" w:ascii="Times New Roman" w:hAnsi="Times New Roman"/>
          <w:bCs/>
          <w:sz w:val="24"/>
          <w:szCs w:val="24"/>
        </w:rPr>
        <w:t>в</w:t>
      </w:r>
      <w:r>
        <w:rPr>
          <w:rFonts w:cs="Times New Roman" w:ascii="Times New Roman" w:hAnsi="Times New Roman"/>
          <w:sz w:val="24"/>
          <w:szCs w:val="24"/>
        </w:rPr>
        <w:t xml:space="preserve"> целом ГИА-9 в 2024 году прошла организовано. Государственная итоговая аттестация показала у подавляющего количества выпускников 9-х классов наличие достаточного уровня теоретических знаний и практических умений по большинству предметов.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 xml:space="preserve">Из 36 обучающихся, допущенных к итоговой аттестации, получили аттестаты об основном общем образовании. Из них 1 ученик 9а класса получил аттестат особого образца.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 xml:space="preserve">По итогам проведения государственной итоговой аттестации 2024 года были выявлены и ряд проблем. Администрация школы видит следующие причины, которые необходимо учесть при организации работы по подготовке к ГИА 2025 года: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Symbol" w:cs="Symbol" w:ascii="Symbol" w:hAnsi="Symbol"/>
          <w:sz w:val="24"/>
          <w:szCs w:val="24"/>
        </w:rPr>
        <w:t></w:t>
      </w:r>
      <w:r>
        <w:rPr>
          <w:rFonts w:cs="Times New Roman" w:ascii="Times New Roman" w:hAnsi="Times New Roman"/>
          <w:sz w:val="24"/>
          <w:szCs w:val="24"/>
        </w:rPr>
        <w:t xml:space="preserve">недостатками в работе школы по профориентации учащихся по части выбора профильности обучения в дальнейшем (соответственно проблема выбора экзамена у ряда выпускников), даже учащиеся, которые собираются получать средние специальное образования сомневаются при выборе предметов. </w:t>
      </w:r>
    </w:p>
    <w:p>
      <w:pPr>
        <w:pStyle w:val="Normal"/>
        <w:spacing w:lineRule="auto" w:line="276" w:before="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Полученная в результате аналитических данных информация, позволяет сформулировать следующие задачи для совершенствования деятельности педагогического коллектива школы по подготовке обучающихся к ГИА в новом учебном году: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-продолжить осуществлять контроль преподавания предметов по всем предметам;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-организовать систематическую работу с учителями-предметниками по экспертизе и методике работы с контрольными измерительными материалами (КИМами);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-направлять учителей для обучения и дальнейшей работы в предметных комиссиях в качестве экспертов и делится набранным опытом с коллегами по методическому объединению;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-осуществлять тщательный анализ методических материалов, разработанных специалистами ФГБНУ «ФИПИ», в которых даются детальные рекомендации по основным вопросам методики обучения, анализу основных ошибок, методике повторения, изучить и использовать в работе рекомендованную литературу по подготовке к ОГЭ;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>
          <w:rFonts w:cs="Times New Roman" w:ascii="Times New Roman" w:hAnsi="Times New Roman"/>
          <w:sz w:val="24"/>
          <w:szCs w:val="24"/>
        </w:rPr>
        <w:t>-продолжить работу по созданию внутренней оценочной системы оценки качества, позволяющей управлять процессом повышения качества образования в школе. Также необходимо шире использовать и транслировать возможности участия учащихся основной школы в олимпиадах и конкурсах по различным предметам (ВОШ), грамотно распределять учебное время в рамках учебного плана, максимально использовать потенциал часов внеурочной деятельности, системы внеурочной работы по предметам.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Symbol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c2c3e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Без интервала Знак"/>
    <w:link w:val="NoSpacing"/>
    <w:uiPriority w:val="1"/>
    <w:qFormat/>
    <w:rsid w:val="006c2c3e"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Spacing">
    <w:name w:val="No Spacing"/>
    <w:link w:val="Style14"/>
    <w:uiPriority w:val="1"/>
    <w:qFormat/>
    <w:rsid w:val="006c2c3e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ListParagraph">
    <w:name w:val="List Paragraph"/>
    <w:basedOn w:val="Normal"/>
    <w:uiPriority w:val="34"/>
    <w:qFormat/>
    <w:rsid w:val="006c2c3e"/>
    <w:pPr>
      <w:spacing w:before="0" w:after="160"/>
      <w:ind w:left="720" w:hanging="0"/>
      <w:contextualSpacing/>
    </w:pPr>
    <w:rPr/>
  </w:style>
  <w:style w:type="paragraph" w:styleId="Style20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6c2c3e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LibreOffice/7.5.6.2$Linux_X86_64 LibreOffice_project/50$Build-2</Application>
  <AppVersion>15.0000</AppVersion>
  <Pages>5</Pages>
  <Words>1526</Words>
  <Characters>9433</Characters>
  <CharactersWithSpaces>10718</CharactersWithSpaces>
  <Paragraphs>383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2024-08-15T08:18:00Z</dcterms:created>
  <dc:creator>Uzer</dc:creator>
  <dc:description/>
  <dc:language>ru-RU</dc:language>
  <cp:lastModifiedBy/>
  <cp:lastPrinted>2024-08-29T08:36:52Z</cp:lastPrinted>
  <dcterms:modified xsi:type="dcterms:W3CDTF">2024-09-09T14:43:59Z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